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E0A" w:rsidRPr="00E9624E" w:rsidRDefault="000D1E0A" w:rsidP="000D1E0A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E9624E">
        <w:rPr>
          <w:rFonts w:ascii="Times New Roman" w:hAnsi="Times New Roman"/>
          <w:b/>
          <w:sz w:val="26"/>
          <w:szCs w:val="26"/>
        </w:rPr>
        <w:t xml:space="preserve">A </w:t>
      </w:r>
      <w:r w:rsidR="00741F5F" w:rsidRPr="00E9624E">
        <w:rPr>
          <w:rFonts w:ascii="Times New Roman" w:hAnsi="Times New Roman"/>
          <w:b/>
          <w:sz w:val="26"/>
          <w:szCs w:val="26"/>
        </w:rPr>
        <w:t>Violência Colet</w:t>
      </w:r>
      <w:r w:rsidR="00741F5F">
        <w:rPr>
          <w:rFonts w:ascii="Times New Roman" w:hAnsi="Times New Roman"/>
          <w:b/>
          <w:sz w:val="26"/>
          <w:szCs w:val="26"/>
        </w:rPr>
        <w:t>ivo-Estrutural Contra Crianças e</w:t>
      </w:r>
      <w:r w:rsidR="00741F5F" w:rsidRPr="00E9624E">
        <w:rPr>
          <w:rFonts w:ascii="Times New Roman" w:hAnsi="Times New Roman"/>
          <w:b/>
          <w:sz w:val="26"/>
          <w:szCs w:val="26"/>
        </w:rPr>
        <w:t xml:space="preserve"> Adolescentes</w:t>
      </w:r>
    </w:p>
    <w:p w:rsidR="000D1E0A" w:rsidRPr="00741F5F" w:rsidRDefault="00741F5F" w:rsidP="00741F5F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e a Demanda p</w:t>
      </w:r>
      <w:r w:rsidRPr="00E9624E">
        <w:rPr>
          <w:rFonts w:ascii="Times New Roman" w:hAnsi="Times New Roman"/>
          <w:b/>
          <w:sz w:val="26"/>
          <w:szCs w:val="26"/>
        </w:rPr>
        <w:t xml:space="preserve">ara </w:t>
      </w:r>
      <w:r w:rsidR="000D1E0A" w:rsidRPr="00E9624E">
        <w:rPr>
          <w:rFonts w:ascii="Times New Roman" w:hAnsi="Times New Roman"/>
          <w:b/>
          <w:sz w:val="26"/>
          <w:szCs w:val="26"/>
        </w:rPr>
        <w:t>Saúde Mental</w:t>
      </w:r>
    </w:p>
    <w:p w:rsidR="000D1E0A" w:rsidRPr="00E9624E" w:rsidRDefault="000D1E0A" w:rsidP="000D1E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B6C81" w:rsidRPr="00E9624E" w:rsidRDefault="000D1E0A" w:rsidP="000D1E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624E">
        <w:rPr>
          <w:rFonts w:ascii="Times New Roman" w:hAnsi="Times New Roman"/>
          <w:sz w:val="24"/>
          <w:szCs w:val="24"/>
        </w:rPr>
        <w:t xml:space="preserve">Luciene </w:t>
      </w:r>
      <w:proofErr w:type="spellStart"/>
      <w:r>
        <w:rPr>
          <w:rFonts w:ascii="Times New Roman" w:hAnsi="Times New Roman"/>
          <w:sz w:val="24"/>
          <w:szCs w:val="24"/>
        </w:rPr>
        <w:t>Jimenez</w:t>
      </w:r>
      <w:r w:rsidR="00EB6C81">
        <w:rPr>
          <w:rFonts w:ascii="Times New Roman" w:hAnsi="Times New Roman"/>
          <w:sz w:val="24"/>
          <w:szCs w:val="24"/>
        </w:rPr>
        <w:t>¹</w:t>
      </w:r>
      <w:proofErr w:type="spellEnd"/>
    </w:p>
    <w:p w:rsidR="000D1E0A" w:rsidRDefault="00EB6C81" w:rsidP="000D1E0A">
      <w:pPr>
        <w:spacing w:after="0" w:line="360" w:lineRule="auto"/>
        <w:jc w:val="both"/>
        <w:rPr>
          <w:rFonts w:ascii="Times New Roman" w:hAnsi="Arial"/>
          <w:noProof/>
          <w:sz w:val="24"/>
          <w:szCs w:val="24"/>
        </w:rPr>
      </w:pPr>
      <w:r>
        <w:rPr>
          <w:rFonts w:ascii="Times New Roman" w:hAnsi="Arial"/>
          <w:noProof/>
          <w:sz w:val="24"/>
          <w:szCs w:val="24"/>
        </w:rPr>
        <w:t>Universidade Bandeirante de S</w:t>
      </w:r>
      <w:r>
        <w:rPr>
          <w:rFonts w:ascii="Times New Roman" w:hAnsi="Arial"/>
          <w:noProof/>
          <w:sz w:val="24"/>
          <w:szCs w:val="24"/>
        </w:rPr>
        <w:t>ã</w:t>
      </w:r>
      <w:r>
        <w:rPr>
          <w:rFonts w:ascii="Times New Roman" w:hAnsi="Arial"/>
          <w:noProof/>
          <w:sz w:val="24"/>
          <w:szCs w:val="24"/>
        </w:rPr>
        <w:t>o Paulo - Pref. Mun. Diadema</w:t>
      </w:r>
      <w:r>
        <w:rPr>
          <w:rFonts w:ascii="Times New Roman" w:hAnsi="Arial"/>
          <w:noProof/>
          <w:sz w:val="24"/>
          <w:szCs w:val="24"/>
        </w:rPr>
        <w:t>¹</w:t>
      </w:r>
    </w:p>
    <w:p w:rsidR="00EB6C81" w:rsidRDefault="00EB6C81" w:rsidP="000D1E0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41F5F" w:rsidRPr="00E9624E" w:rsidRDefault="00741F5F" w:rsidP="000D1E0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B6C81" w:rsidRPr="00E9624E" w:rsidRDefault="000D1E0A" w:rsidP="000D1E0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624E">
        <w:rPr>
          <w:rFonts w:ascii="Times New Roman" w:hAnsi="Times New Roman"/>
          <w:b/>
          <w:sz w:val="24"/>
          <w:szCs w:val="24"/>
        </w:rPr>
        <w:t>Resumo</w:t>
      </w:r>
    </w:p>
    <w:p w:rsidR="000D1E0A" w:rsidRPr="00E9624E" w:rsidRDefault="000D1E0A" w:rsidP="000D1E0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D1E0A" w:rsidRPr="00E9624E" w:rsidRDefault="000D1E0A" w:rsidP="000D1E0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624E">
        <w:rPr>
          <w:rFonts w:ascii="Times New Roman" w:hAnsi="Times New Roman"/>
          <w:sz w:val="24"/>
          <w:szCs w:val="24"/>
        </w:rPr>
        <w:t xml:space="preserve">Este trabalho chama a atenção para a incongruência entre a dimensão coletivo-estrutural da violência, e a demanda de crianças e adolescentes para atendimento psicológico nos serviços básicos de saúde.  A violência coletivo-estrutural remete às diferentes formas de manutenção das desigualdades sociais que produzem expressões de submissão e exploração de umas pessoas pelas outras. Envolve instâncias macro sociais e se aplica tanto às estruturas institucionalizadas, como aos sistemas econômicos que oprimem grupos e influenciam as práticas de socialização.  Uma das suas expressões </w:t>
      </w:r>
      <w:proofErr w:type="gramStart"/>
      <w:r w:rsidRPr="00E9624E">
        <w:rPr>
          <w:rFonts w:ascii="Times New Roman" w:hAnsi="Times New Roman"/>
          <w:sz w:val="24"/>
          <w:szCs w:val="24"/>
        </w:rPr>
        <w:t>pode</w:t>
      </w:r>
      <w:proofErr w:type="gramEnd"/>
      <w:r w:rsidRPr="00E9624E">
        <w:rPr>
          <w:rFonts w:ascii="Times New Roman" w:hAnsi="Times New Roman"/>
          <w:sz w:val="24"/>
          <w:szCs w:val="24"/>
        </w:rPr>
        <w:t xml:space="preserve"> ser identificada nos indicadores de mortalidade. No ano de 2006, entre zero e nove anos de idade, os acidentes de transporte (31,5%), afogamentos (22,7%) e outros riscos à respiração (16,5%) se configuraram como as principais causas de óbito. As agressões, ou violências explícitas apareceram como a quarta causa de mortalidade neste grupo etário. Na faixa seguinte, entre 10 e 19 anos, as violências (52,9%), seguidas pelos acidentes de transporte (25,9%) e afogamentos (9%), têm se apresentado como as principais causas de óbito. Já em 2003, a partir da análise das taxas de mortalidade disponíveis percebia-se que a morte de crianças e adolescentes podia ser um importante indicador de violência coletivo-estrutural e doméstica, já que, é nessa faixa etária que ocorrem mortes supostamente acidentais que não são devidamente investigadas. Se por um lado as violências contra crianças e adolescentes assumem tamanha relevância nos indicadores de mortalidade, por outro, dificilmente se apresentam explicitamente como demanda para os atendimentos psicológicos nos serviços básicos de saúde. É reconhecido que, no Brasil, a referida demanda se encontra voltada prioritariamente para os problemas escolares, tais como: TDAH (Transtorno do Déficit de Atenção e Hiperatividade), dislexia e os chamados distúrbios de comportamento. Neste sentido, podemos supor que a prática psicológica embasada unicamente nos pressupostos </w:t>
      </w:r>
      <w:proofErr w:type="spellStart"/>
      <w:r w:rsidRPr="00E9624E">
        <w:rPr>
          <w:rFonts w:ascii="Times New Roman" w:hAnsi="Times New Roman"/>
          <w:sz w:val="24"/>
          <w:szCs w:val="24"/>
        </w:rPr>
        <w:lastRenderedPageBreak/>
        <w:t>nosológicos</w:t>
      </w:r>
      <w:proofErr w:type="spellEnd"/>
      <w:r w:rsidRPr="00E9624E">
        <w:rPr>
          <w:rFonts w:ascii="Times New Roman" w:hAnsi="Times New Roman"/>
          <w:sz w:val="24"/>
          <w:szCs w:val="24"/>
        </w:rPr>
        <w:t xml:space="preserve"> da clínica tradicional pode se configurar como mais uma expressão da violência estrutural na medida em que tende a diagnosticar e </w:t>
      </w:r>
      <w:proofErr w:type="spellStart"/>
      <w:r w:rsidRPr="00E9624E">
        <w:rPr>
          <w:rFonts w:ascii="Times New Roman" w:hAnsi="Times New Roman"/>
          <w:sz w:val="24"/>
          <w:szCs w:val="24"/>
        </w:rPr>
        <w:t>medicalizar</w:t>
      </w:r>
      <w:proofErr w:type="spellEnd"/>
      <w:r w:rsidRPr="00E9624E">
        <w:rPr>
          <w:rFonts w:ascii="Times New Roman" w:hAnsi="Times New Roman"/>
          <w:sz w:val="24"/>
          <w:szCs w:val="24"/>
        </w:rPr>
        <w:t xml:space="preserve"> os sujeitos individualmente não atentando para as possíveis situações de violência subjacentes à sintomatologia apresentada. A identificação, a prevenção e a abordagem às diversas expressões da violência devem se fortalecer como políticas públicas de saúde mental nos diferentes níveis de atenção à saúde, constituindo parte importante do repertório ampliado dos profissionais destes serviços.</w:t>
      </w:r>
    </w:p>
    <w:p w:rsidR="000D1E0A" w:rsidRPr="00E9624E" w:rsidRDefault="000D1E0A" w:rsidP="000D1E0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D1E0A" w:rsidRPr="00E9624E" w:rsidRDefault="000D1E0A" w:rsidP="000D1E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624E">
        <w:rPr>
          <w:rFonts w:ascii="Times New Roman" w:hAnsi="Times New Roman"/>
          <w:b/>
          <w:sz w:val="24"/>
          <w:szCs w:val="24"/>
        </w:rPr>
        <w:t>Palavras</w:t>
      </w:r>
      <w:r w:rsidR="00741F5F" w:rsidRPr="00E9624E">
        <w:rPr>
          <w:rFonts w:ascii="Times New Roman" w:hAnsi="Times New Roman"/>
          <w:b/>
          <w:sz w:val="24"/>
          <w:szCs w:val="24"/>
        </w:rPr>
        <w:t>-Chave</w:t>
      </w:r>
      <w:r w:rsidR="00741F5F" w:rsidRPr="00E9624E">
        <w:rPr>
          <w:rFonts w:ascii="Times New Roman" w:hAnsi="Times New Roman"/>
          <w:sz w:val="24"/>
          <w:szCs w:val="24"/>
        </w:rPr>
        <w:t>: Infância/Adolescência, V</w:t>
      </w:r>
      <w:r w:rsidR="00741F5F">
        <w:rPr>
          <w:rFonts w:ascii="Times New Roman" w:hAnsi="Times New Roman"/>
          <w:sz w:val="24"/>
          <w:szCs w:val="24"/>
        </w:rPr>
        <w:t>iolência, Mortalidade, Demanda p</w:t>
      </w:r>
      <w:r w:rsidR="00741F5F" w:rsidRPr="00E9624E">
        <w:rPr>
          <w:rFonts w:ascii="Times New Roman" w:hAnsi="Times New Roman"/>
          <w:sz w:val="24"/>
          <w:szCs w:val="24"/>
        </w:rPr>
        <w:t>ara Saúde Mental.</w:t>
      </w:r>
    </w:p>
    <w:p w:rsidR="00C9469E" w:rsidRDefault="00C9469E"/>
    <w:sectPr w:rsidR="00C9469E" w:rsidSect="00C946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D1E0A"/>
    <w:rsid w:val="000D1E0A"/>
    <w:rsid w:val="001F3497"/>
    <w:rsid w:val="00741F5F"/>
    <w:rsid w:val="00AF2B59"/>
    <w:rsid w:val="00C9469E"/>
    <w:rsid w:val="00EB6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bCs/>
        <w:color w:val="4F81BD" w:themeColor="accent1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E0A"/>
    <w:rPr>
      <w:rFonts w:ascii="Calibri" w:eastAsia="Calibri" w:hAnsi="Calibri" w:cs="Times New Roman"/>
      <w:b w:val="0"/>
      <w:bCs w:val="0"/>
      <w:color w:val="auto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442</Words>
  <Characters>2388</Characters>
  <Application>Microsoft Office Word</Application>
  <DocSecurity>0</DocSecurity>
  <Lines>19</Lines>
  <Paragraphs>5</Paragraphs>
  <ScaleCrop>false</ScaleCrop>
  <Company>Instituto Metodista de Ensino Superior</Company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IMS</dc:creator>
  <cp:keywords/>
  <dc:description/>
  <cp:lastModifiedBy>talita.perestrelo</cp:lastModifiedBy>
  <cp:revision>3</cp:revision>
  <dcterms:created xsi:type="dcterms:W3CDTF">2011-05-18T19:01:00Z</dcterms:created>
  <dcterms:modified xsi:type="dcterms:W3CDTF">2011-05-20T21:42:00Z</dcterms:modified>
</cp:coreProperties>
</file>